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22.04.2014 N 388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дорог"</w:t>
              <w:br/>
              <w:t xml:space="preserve">(Зарегистрировано в Минюсте России 18.06.2014 N 32769)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июня 2014 г. N 32769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апреля 2014 г. N 388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23.02.06 ТЕХНИЧЕСКАЯ ЭКСПЛУАТАЦИЯ ПОДВИЖНОГО СОСТАВА</w:t>
      </w:r>
    </w:p>
    <w:p>
      <w:pPr>
        <w:pStyle w:val="2"/>
        <w:jc w:val="center"/>
      </w:pPr>
      <w:r>
        <w:rPr>
          <w:sz w:val="20"/>
        </w:rPr>
        <w:t xml:space="preserve">ЖЕЛЕЗНЫХ ДОРОГ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23.02.06 Техническая эксплуатация подвижного состава железных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7.03.2010 N 19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3 Техническая эксплуатация подвижного состава железных дорог&quot; (Зарегистрировано в Минюсте РФ 29.04.2010 N 1704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марта 2010 г. N 193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190623 Техническая эксплуатация подвижного состава железных дорог" (зарегистрирован Министерством юстиции Российской Федерации 29 апреля 2010 г., регистрационный N 17049).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апреля 2014 г. N 388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23.02.06 ТЕХНИЧЕСКАЯ ЭКСПЛУАТАЦИЯ ПОДВИЖНОГО СОСТАВА</w:t>
      </w:r>
    </w:p>
    <w:p>
      <w:pPr>
        <w:pStyle w:val="2"/>
        <w:jc w:val="center"/>
      </w:pPr>
      <w:r>
        <w:rPr>
          <w:sz w:val="20"/>
        </w:rPr>
        <w:t xml:space="preserve">ЖЕЛЕЗНЫХ ДОРОГ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13.07.2021 </w:t>
            </w: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01.09.2022 </w:t>
            </w:r>
            <w:hyperlink w:history="0" r:id="rId1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23.02.06 Техническая эксплуатация подвижного состава железных дорог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23.02.06 Техническая эксплуатация подвижного состава железных дорог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23.02.06 Техническая эксплуатация подвижного состава железных дорог базовой подготовки в очной форме обучения и присваиваемая квалификация приводятся в </w:t>
      </w:r>
      <w:hyperlink w:history="0" w:anchor="P72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6"/>
        <w:gridCol w:w="3005"/>
        <w:gridCol w:w="3345"/>
      </w:tblGrid>
      <w:tr>
        <w:tc>
          <w:tcPr>
            <w:tcW w:w="3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90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5"/>
        <w:gridCol w:w="3014"/>
        <w:gridCol w:w="3347"/>
      </w:tblGrid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</w:t>
            </w:r>
          </w:p>
        </w:tc>
        <w:tc>
          <w:tcPr>
            <w:tcW w:w="3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эксплуатации, ремонту и техническому обслуживанию подвижного состава железных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детали, узлы, агрегаты, системы подвижного состава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техническое обслуживание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50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Эксплуатация и техническое обслуживание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Обеспечение надежности подвижного состава (по видам подвижного состава).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07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техническое обслуживание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Эксплуатировать подвижной состав железных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безопасность движения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производственные работы коллективом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Планировать и организовывать мероприятия по соблюдению норм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и оценивать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конструкторско-технологической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Оформлять техническую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 должен обладать следующими общими компетенциями: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1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Эксплуатация и техническое обслуживание подвижного состава (по видам подвижного состава).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Эксплуатировать подвижной состав железных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Производить техническое обслуживание и ремонт подвижного состава железных дорог в соответствии с требованиями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безопасность движения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деятельности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производственные работы коллективом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Планировать и организовывать мероприятия по соблюдению норм безопасных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и оценивать качество выполняемых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Участие в конструкторско-технологической деятельности (по видам подвижного состава).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Оформлять техническую и технологическую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Обеспечение надежности подвижного состава (по видам подвижного состава).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детали подвижного состава средствами неразрушающего контроля, анализировать полученные результаты.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Планировать и организовывать производственные работы с использованием системы менеджмента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Использовать в производственных процессах средства автоматизации и механизации.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как базовой, так и углубленной подготовки должна предусматривать изучение следующих обязательных дисциплин: "ЕН.01. Математика", "ЕН.02. Информатика".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как базовой, так и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Электротехника", "ОП.04. Электроника и микропроцессорная техника", "ОП.05. Материаловедение", "ОП.06. Метрология, стандартизация и сертификация", "ОП.07. Железные дороги", "ОП.08. Охрана труда", "ОП.09.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Эксплуатация и техническое обслуживание подвижного состава", "МДК.01.01. Конструкция, техническое обслуживание и ремонт подвижного состава (по видам подвижного состава)", "МДК.01.02. Эксплуатация подвижного состава (по видам подвижного состава) и обеспечение безопасности движения поездов", "ПМ.02 Организация деятельности коллектива исполнителей", "МДК.02.01. Организация работы и управление подразделением организации", "ПМ.03 Участие в конструкторско-технологической деятельности (по видам подвижного состава)", "МДК.03.01. Разработка технологических процессов, технической и технологической документации (по видам подвижного состава)", "ПМ.04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"ПМ.01 Эксплуатация и техническое обслуживание подвижного состава", "МДК.01.01. Конструкция, техническое обслуживание и ремонт подвижного состава (по видам подвижного состава)", "МДК.01.02. Эксплуатация подвижного состава (по видам подвижного состава) и обеспечение безопасности движения поездов", "ПМ.02 Организация деятельности коллектива исполнителей", "МДК.02.01. Организация работы и управление подразделением организации", "ПМ.03 Участие в конструкторско-технологической деятельности (по видам подвижного состава)", "МДК.03.01. Разработка технологических процессов, технической и технологической документации", "ПМ.04 Обеспечение надежности подвижного состава (по видам подвижного состава)", "МДК.04.01. Диагностика и неразрушающий контроль", "МДК.04.02. Автоматизация и механизация производственных процессов",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76"/>
        <w:gridCol w:w="1723"/>
        <w:gridCol w:w="1646"/>
      </w:tblGrid>
      <w:tr>
        <w:tc>
          <w:tcPr>
            <w:gridSpan w:val="2"/>
            <w:tcW w:w="545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53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2124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432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1548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504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1044</w:t>
            </w:r>
          </w:p>
        </w:tc>
      </w:tr>
      <w:tr>
        <w:tc>
          <w:tcPr>
            <w:gridSpan w:val="2"/>
            <w:tcW w:w="5453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3024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72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64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5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646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4158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2772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604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3036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2024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648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2064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1376</w:t>
            </w:r>
          </w:p>
        </w:tc>
      </w:tr>
      <w:tr>
        <w:tc>
          <w:tcPr>
            <w:gridSpan w:val="2"/>
            <w:tcW w:w="544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1368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6210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4140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1116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324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базе.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8"/>
        <w:gridCol w:w="1701"/>
      </w:tblGrid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0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7.17 в ред. </w:t>
      </w: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34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железных дорог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курса железных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микропроцессорной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машин и преобразователей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электрических аппаратов и цепей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автоматических тормозов подвижного состава;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обслуживания и ремонта подвижного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электросварочные;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первый - тридцать второй утратили силу. - </w:t>
      </w:r>
      <w:hyperlink w:history="0" r:id="rId3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государственного экзамена и (или)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23.02.06 Техническая эксплуатация</w:t>
      </w:r>
    </w:p>
    <w:p>
      <w:pPr>
        <w:pStyle w:val="0"/>
        <w:jc w:val="right"/>
      </w:pPr>
      <w:r>
        <w:rPr>
          <w:sz w:val="20"/>
        </w:rPr>
        <w:t xml:space="preserve">подвижного состава железных дорог</w:t>
      </w:r>
    </w:p>
    <w:p>
      <w:pPr>
        <w:pStyle w:val="0"/>
        <w:jc w:val="both"/>
      </w:pPr>
      <w:r>
        <w:rPr>
          <w:sz w:val="20"/>
        </w:rPr>
      </w:r>
    </w:p>
    <w:bookmarkStart w:id="507" w:name="P507"/>
    <w:bookmarkEnd w:id="50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79"/>
        <w:gridCol w:w="6520"/>
      </w:tblGrid>
      <w:tr>
        <w:tc>
          <w:tcPr>
            <w:tcW w:w="3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15859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по обслуживанию и ремонту вагонов и контейнеров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16269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Осмотрщик вагонов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16275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Осмотрщик-ремонтник вагонов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16783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Поездной электромеханик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16856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машиниста дизельпоезда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16878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машиниста тепловоза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16885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машиниста электровоза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16887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машиниста электропоезда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17334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Проводник пассажирского вагона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18507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осмотру и ремонту локомотивов на пунктах технического обслуживания</w:t>
            </w:r>
          </w:p>
        </w:tc>
      </w:tr>
      <w:tr>
        <w:tc>
          <w:tcPr>
            <w:tcW w:w="3179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18540</w:t>
              </w:r>
            </w:hyperlink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Слесарь по ремонту подвижного состава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22.04.2014 N 388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04AB782A9CB3FF290A50BFEF6FCBC15C4857A109FC918A13BA0C30D75526614C60447C5489E99F75D78A947BCB4AC06F184AA53783968751EaCM" TargetMode = "External"/>
	<Relationship Id="rId8" Type="http://schemas.openxmlformats.org/officeDocument/2006/relationships/hyperlink" Target="consultantplus://offline/ref=804AB782A9CB3FF290A50BFEF6FCBC15C38E7A169CC218A13BA0C30D75526614C60447C5489C98F75978A947BCB4AC06F184AA53783968751EaCM" TargetMode = "External"/>
	<Relationship Id="rId9" Type="http://schemas.openxmlformats.org/officeDocument/2006/relationships/hyperlink" Target="consultantplus://offline/ref=804AB782A9CB3FF290A50BFEF6FCBC15C58475169FC318A13BA0C30D75526614C60447C5489E90FA5878A947BCB4AC06F184AA53783968751EaCM" TargetMode = "External"/>
	<Relationship Id="rId10" Type="http://schemas.openxmlformats.org/officeDocument/2006/relationships/hyperlink" Target="consultantplus://offline/ref=804AB782A9CB3FF290A50BFEF6FCBC15C18B77159AC045AB33F9CF0F725D3911C11547C54E8091FC4471FD141FaAM" TargetMode = "External"/>
	<Relationship Id="rId11" Type="http://schemas.openxmlformats.org/officeDocument/2006/relationships/hyperlink" Target="consultantplus://offline/ref=804AB782A9CB3FF290A50BFEF6FCBC15C4857A109FC918A13BA0C30D75526614C60447C5489E99F75D78A947BCB4AC06F184AA53783968751EaCM" TargetMode = "External"/>
	<Relationship Id="rId12" Type="http://schemas.openxmlformats.org/officeDocument/2006/relationships/hyperlink" Target="consultantplus://offline/ref=804AB782A9CB3FF290A50BFEF6FCBC15C38E7A169CC218A13BA0C30D75526614C60447C5489C98F75978A947BCB4AC06F184AA53783968751EaCM" TargetMode = "External"/>
	<Relationship Id="rId13" Type="http://schemas.openxmlformats.org/officeDocument/2006/relationships/hyperlink" Target="consultantplus://offline/ref=804AB782A9CB3FF290A50BFEF6FCBC15C4857A109FC918A13BA0C30D75526614C60447C5489E99F75278A947BCB4AC06F184AA53783968751EaCM" TargetMode = "External"/>
	<Relationship Id="rId14" Type="http://schemas.openxmlformats.org/officeDocument/2006/relationships/hyperlink" Target="consultantplus://offline/ref=804AB782A9CB3FF290A50BFEF6FCBC15C4857A109FC918A13BA0C30D75526614C60447C5489F90FE5A78A947BCB4AC06F184AA53783968751EaCM" TargetMode = "External"/>
	<Relationship Id="rId15" Type="http://schemas.openxmlformats.org/officeDocument/2006/relationships/hyperlink" Target="consultantplus://offline/ref=804AB782A9CB3FF290A50BFEF6FCBC15C38E7A169CC218A13BA0C30D75526614C60447C5489C98F75E78A947BCB4AC06F184AA53783968751EaCM" TargetMode = "External"/>
	<Relationship Id="rId16" Type="http://schemas.openxmlformats.org/officeDocument/2006/relationships/hyperlink" Target="consultantplus://offline/ref=804AB782A9CB3FF290A50BFEF6FCBC15C38D73199DCB18A13BA0C30D75526614C60447C5489E90FD5A78A947BCB4AC06F184AA53783968751EaCM" TargetMode = "External"/>
	<Relationship Id="rId17" Type="http://schemas.openxmlformats.org/officeDocument/2006/relationships/hyperlink" Target="consultantplus://offline/ref=804AB782A9CB3FF290A50BFEF6FCBC15C38E7A169CC218A13BA0C30D75526614C60447C5489C98F75C78A947BCB4AC06F184AA53783968751EaCM" TargetMode = "External"/>
	<Relationship Id="rId18" Type="http://schemas.openxmlformats.org/officeDocument/2006/relationships/hyperlink" Target="consultantplus://offline/ref=804AB782A9CB3FF290A50BFEF6FCBC15C38E7A169CC218A13BA0C30D75526614C60447C5489C98F75378A947BCB4AC06F184AA53783968751EaCM" TargetMode = "External"/>
	<Relationship Id="rId19" Type="http://schemas.openxmlformats.org/officeDocument/2006/relationships/hyperlink" Target="consultantplus://offline/ref=804AB782A9CB3FF290A50BFEF6FCBC15C38E7A169CC218A13BA0C30D75526614C60447C5489C99FF5A78A947BCB4AC06F184AA53783968751EaCM" TargetMode = "External"/>
	<Relationship Id="rId20" Type="http://schemas.openxmlformats.org/officeDocument/2006/relationships/hyperlink" Target="consultantplus://offline/ref=804AB782A9CB3FF290A50BFEF6FCBC15C38E7A169CC218A13BA0C30D75526614C60447C5489C99FC5B78A947BCB4AC06F184AA53783968751EaCM" TargetMode = "External"/>
	<Relationship Id="rId21" Type="http://schemas.openxmlformats.org/officeDocument/2006/relationships/hyperlink" Target="consultantplus://offline/ref=804AB782A9CB3FF290A50BFEF6FCBC15C38E7A169CC218A13BA0C30D75526614C60447C5489C99FC5978A947BCB4AC06F184AA53783968751EaCM" TargetMode = "External"/>
	<Relationship Id="rId22" Type="http://schemas.openxmlformats.org/officeDocument/2006/relationships/hyperlink" Target="consultantplus://offline/ref=804AB782A9CB3FF290A50BFEF6FCBC15C38E7A169CC218A13BA0C30D75526614C60447C5489C99FC5E78A947BCB4AC06F184AA53783968751EaCM" TargetMode = "External"/>
	<Relationship Id="rId23" Type="http://schemas.openxmlformats.org/officeDocument/2006/relationships/hyperlink" Target="consultantplus://offline/ref=804AB782A9CB3FF290A50BFEF6FCBC15C38E7A169CC218A13BA0C30D75526614C60447C5489C99FC5F78A947BCB4AC06F184AA53783968751EaCM" TargetMode = "External"/>
	<Relationship Id="rId24" Type="http://schemas.openxmlformats.org/officeDocument/2006/relationships/hyperlink" Target="consultantplus://offline/ref=804AB782A9CB3FF290A50BFEF6FCBC15C38E7A169CC218A13BA0C30D75526614C60447C5489C99FC5C78A947BCB4AC06F184AA53783968751EaCM" TargetMode = "External"/>
	<Relationship Id="rId25" Type="http://schemas.openxmlformats.org/officeDocument/2006/relationships/hyperlink" Target="consultantplus://offline/ref=804AB782A9CB3FF290A50BFEF6FCBC15C38E7A169CC218A13BA0C30D75526614C60447C5489C99FC5D78A947BCB4AC06F184AA53783968751EaCM" TargetMode = "External"/>
	<Relationship Id="rId26" Type="http://schemas.openxmlformats.org/officeDocument/2006/relationships/hyperlink" Target="consultantplus://offline/ref=804AB782A9CB3FF290A50BFEF6FCBC15C38F71149DCD18A13BA0C30D75526614D4041FC949988EFF586DFF16FA1Ea3M" TargetMode = "External"/>
	<Relationship Id="rId27" Type="http://schemas.openxmlformats.org/officeDocument/2006/relationships/hyperlink" Target="consultantplus://offline/ref=804AB782A9CB3FF290A50BFEF6FCBC15C38E7A169CC218A13BA0C30D75526614C60447C5489C98F75278A947BCB4AC06F184AA53783968751EaCM" TargetMode = "External"/>
	<Relationship Id="rId28" Type="http://schemas.openxmlformats.org/officeDocument/2006/relationships/hyperlink" Target="consultantplus://offline/ref=804AB782A9CB3FF290A50BFEF6FCBC15C38E7A169CC218A13BA0C30D75526614C60447C5489C98F75278A947BCB4AC06F184AA53783968751EaCM" TargetMode = "External"/>
	<Relationship Id="rId29" Type="http://schemas.openxmlformats.org/officeDocument/2006/relationships/hyperlink" Target="consultantplus://offline/ref=804AB782A9CB3FF290A50BFEF6FCBC15C38E7A169CC218A13BA0C30D75526614C60447C5489C98F75278A947BCB4AC06F184AA53783968751EaCM" TargetMode = "External"/>
	<Relationship Id="rId30" Type="http://schemas.openxmlformats.org/officeDocument/2006/relationships/hyperlink" Target="consultantplus://offline/ref=804AB782A9CB3FF290A50BFEF6FCBC15C38E7A169CC218A13BA0C30D75526614C60447C5489C98F75278A947BCB4AC06F184AA53783968751EaCM" TargetMode = "External"/>
	<Relationship Id="rId31" Type="http://schemas.openxmlformats.org/officeDocument/2006/relationships/hyperlink" Target="consultantplus://offline/ref=804AB782A9CB3FF290A50BFEF6FCBC15C38E70149DC918A13BA0C30D75526614C60447C7419E9BAA0B37A81BF9E7BF06F584A9516413a9M" TargetMode = "External"/>
	<Relationship Id="rId32" Type="http://schemas.openxmlformats.org/officeDocument/2006/relationships/hyperlink" Target="consultantplus://offline/ref=804AB782A9CB3FF290A50BFEF6FCBC15C38F71149DCD18A13BA0C30D75526614D4041FC949988EFF586DFF16FA1Ea3M" TargetMode = "External"/>
	<Relationship Id="rId33" Type="http://schemas.openxmlformats.org/officeDocument/2006/relationships/hyperlink" Target="consultantplus://offline/ref=804AB782A9CB3FF290A50BFEF6FCBC15C38E7A169CC218A13BA0C30D75526614C60447C5489D90FA5C78A947BCB4AC06F184AA53783968751EaCM" TargetMode = "External"/>
	<Relationship Id="rId34" Type="http://schemas.openxmlformats.org/officeDocument/2006/relationships/hyperlink" Target="consultantplus://offline/ref=804AB782A9CB3FF290A50BFEF6FCBC15C38F731896C318A13BA0C30D75526614D4041FC949988EFF586DFF16FA1Ea3M" TargetMode = "External"/>
	<Relationship Id="rId35" Type="http://schemas.openxmlformats.org/officeDocument/2006/relationships/hyperlink" Target="consultantplus://offline/ref=804AB782A9CB3FF290A50BFEF6FCBC15C4857A109FC918A13BA0C30D75526614C60447C5489F90FE5B78A947BCB4AC06F184AA53783968751EaCM" TargetMode = "External"/>
	<Relationship Id="rId36" Type="http://schemas.openxmlformats.org/officeDocument/2006/relationships/hyperlink" Target="consultantplus://offline/ref=804AB782A9CB3FF290A50BFEF6FCBC15C38E7A169CC218A13BA0C30D75526614C60447C5489D90FB5978A947BCB4AC06F184AA53783968751EaCM" TargetMode = "External"/>
	<Relationship Id="rId37" Type="http://schemas.openxmlformats.org/officeDocument/2006/relationships/hyperlink" Target="consultantplus://offline/ref=804AB782A9CB3FF290A50BFEF6FCBC15C38E7A169CC218A13BA0C30D75526614C60447C5489D90FB5978A947BCB4AC06F184AA53783968751EaCM" TargetMode = "External"/>
	<Relationship Id="rId38" Type="http://schemas.openxmlformats.org/officeDocument/2006/relationships/hyperlink" Target="consultantplus://offline/ref=804AB782A9CB3FF290A50BFEF6FCBC15C38F71149DCD18A13BA0C30D75526614C60447C5489E98FE5978A947BCB4AC06F184AA53783968751EaCM" TargetMode = "External"/>
	<Relationship Id="rId39" Type="http://schemas.openxmlformats.org/officeDocument/2006/relationships/hyperlink" Target="consultantplus://offline/ref=804AB782A9CB3FF290A50BFEF6FCBC15C38E7A169CC218A13BA0C30D75526614C60447C5489D90FB5E78A947BCB4AC06F184AA53783968751EaCM" TargetMode = "External"/>
	<Relationship Id="rId40" Type="http://schemas.openxmlformats.org/officeDocument/2006/relationships/hyperlink" Target="consultantplus://offline/ref=804AB782A9CB3FF290A50BFEF6FCBC15C68F771997CD18A13BA0C30D75526614C60447C5489E90FF5A78A947BCB4AC06F184AA53783968751EaCM" TargetMode = "External"/>
	<Relationship Id="rId41" Type="http://schemas.openxmlformats.org/officeDocument/2006/relationships/hyperlink" Target="consultantplus://offline/ref=804AB782A9CB3FF290A50BFEF6FCBC15C68F771997CD18A13BA0C30D75526614C60447C5489996FF5C78A947BCB4AC06F184AA53783968751EaCM" TargetMode = "External"/>
	<Relationship Id="rId42" Type="http://schemas.openxmlformats.org/officeDocument/2006/relationships/hyperlink" Target="consultantplus://offline/ref=804AB782A9CB3FF290A50BFEF6FCBC15C68F771997CD18A13BA0C30D75526614C60447C5489D92F75D78A947BCB4AC06F184AA53783968751EaCM" TargetMode = "External"/>
	<Relationship Id="rId43" Type="http://schemas.openxmlformats.org/officeDocument/2006/relationships/hyperlink" Target="consultantplus://offline/ref=804AB782A9CB3FF290A50BFEF6FCBC15C68F771997CD18A13BA0C30D75526614C60447C5489D93FE5A78A947BCB4AC06F184AA53783968751EaCM" TargetMode = "External"/>
	<Relationship Id="rId44" Type="http://schemas.openxmlformats.org/officeDocument/2006/relationships/hyperlink" Target="consultantplus://offline/ref=804AB782A9CB3FF290A50BFEF6FCBC15C68F771997CD18A13BA0C30D75526614C60447C5489D95FA5378A947BCB4AC06F184AA53783968751EaCM" TargetMode = "External"/>
	<Relationship Id="rId45" Type="http://schemas.openxmlformats.org/officeDocument/2006/relationships/hyperlink" Target="consultantplus://offline/ref=804AB782A9CB3FF290A50BFEF6FCBC15C68F771997CD18A13BA0C30D75526614C60447C5489D95F65F78A947BCB4AC06F184AA53783968751EaCM" TargetMode = "External"/>
	<Relationship Id="rId46" Type="http://schemas.openxmlformats.org/officeDocument/2006/relationships/hyperlink" Target="consultantplus://offline/ref=804AB782A9CB3FF290A50BFEF6FCBC15C68F771997CD18A13BA0C30D75526614C60447C5489D95F75A78A947BCB4AC06F184AA53783968751EaCM" TargetMode = "External"/>
	<Relationship Id="rId47" Type="http://schemas.openxmlformats.org/officeDocument/2006/relationships/hyperlink" Target="consultantplus://offline/ref=804AB782A9CB3FF290A50BFEF6FCBC15C68F771997CD18A13BA0C30D75526614C60447C5489D95F75E78A947BCB4AC06F184AA53783968751EaCM" TargetMode = "External"/>
	<Relationship Id="rId48" Type="http://schemas.openxmlformats.org/officeDocument/2006/relationships/hyperlink" Target="consultantplus://offline/ref=804AB782A9CB3FF290A50BFEF6FCBC15C68F771997CD18A13BA0C30D75526614C60447C5489D95F75F78A947BCB4AC06F184AA53783968751EaCM" TargetMode = "External"/>
	<Relationship Id="rId49" Type="http://schemas.openxmlformats.org/officeDocument/2006/relationships/hyperlink" Target="consultantplus://offline/ref=804AB782A9CB3FF290A50BFEF6FCBC15C68F771997CD18A13BA0C30D75526614C60447C5489D98FF5278A947BCB4AC06F184AA53783968751EaCM" TargetMode = "External"/>
	<Relationship Id="rId50" Type="http://schemas.openxmlformats.org/officeDocument/2006/relationships/hyperlink" Target="consultantplus://offline/ref=804AB782A9CB3FF290A50BFEF6FCBC15C68F771997CD18A13BA0C30D75526614C60447C5489A94FC5A78A947BCB4AC06F184AA53783968751EaCM" TargetMode = "External"/>
	<Relationship Id="rId51" Type="http://schemas.openxmlformats.org/officeDocument/2006/relationships/hyperlink" Target="consultantplus://offline/ref=804AB782A9CB3FF290A50BFEF6FCBC15C68F771997CD18A13BA0C30D75526614C60447C5489A94FD5E78A947BCB4AC06F184AA53783968751EaC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22.04.2014 N 388
(ред. от 01.09.2022)
"Об утверждении 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дорог"
(Зарегистрировано в Минюсте России 18.06.2014 N 32769)</dc:title>
  <dcterms:created xsi:type="dcterms:W3CDTF">2022-12-16T12:26:53Z</dcterms:created>
</cp:coreProperties>
</file>